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i w:val="0"/>
          <w:color w:val="16150F"/>
          <w:sz w:val="44"/>
        </w:rPr>
        <w:t>One-page business case — [Initiative]</w:t>
      </w:r>
    </w:p>
    <w:p>
      <w:pPr>
        <w:pBdr>
          <w:bottom w:val="single" w:sz="12" w:space="1" w:color="C0472B"/>
        </w:pBdr>
      </w:pPr>
    </w:p>
    <w:p>
      <w:r>
        <w:rPr>
          <w:rFonts w:ascii="Calibri" w:hAnsi="Calibri"/>
          <w:b w:val="0"/>
          <w:i w:val="0"/>
          <w:color w:val="6B6560"/>
          <w:sz w:val="21"/>
        </w:rPr>
        <w:t>Enough to make an honest decision, on one page. If it needs ten, the thinking is not finished. A worked example follows.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3C9"/>
          <w:left w:val="single" w:sz="6" w:space="0" w:color="D9D3C9"/>
          <w:bottom w:val="single" w:sz="6" w:space="0" w:color="D9D3C9"/>
          <w:right w:val="single" w:sz="6" w:space="0" w:color="D9D3C9"/>
          <w:insideH w:val="single" w:sz="6" w:space="0" w:color="D9D3C9"/>
          <w:insideV w:val="single" w:sz="6" w:space="0" w:color="D9D3C9"/>
        </w:tblBorders>
      </w:tblPr>
      <w:tblGrid>
        <w:gridCol w:w="8640"/>
      </w:tblGrid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THE PROBLEM OR OPPORTUNITY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What is wrong, or what is possible, in one honest paragraph. Why it matters now.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WHY NOW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What changes if we wait, or do nothing. The cost of delay.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OPTIONS CONSIDERED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Including the do-nothing. Two or three real options, not one dressed up with strawmen.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RECOMMENDED OPTION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Which one, and the single clearest reason why.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IT COSTS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Money, people, and time. Be honest about the range, not just the hoped-for number.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WE GET (MEASURABLE)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The benefit, named so you could later prove it happened. Avoid benefits no one will measure.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KEY RISKS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The two or three that could sink it, and what makes them tolerable.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SUCCESS LOOKS LIKE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The specific, checkable end state. How we will know it worked.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WE WILL STOP DOING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What gets dropped or deprioritised to make room. If the answer is 'nothing', the plan is not real.</w:t>
            </w:r>
          </w:p>
          <w:p/>
          <w:p/>
        </w:tc>
      </w:tr>
    </w:tbl>
    <w:p>
      <w:r>
        <w:br w:type="page"/>
      </w:r>
    </w:p>
    <w:p>
      <w:r>
        <w:rPr>
          <w:rFonts w:ascii="Calibri" w:hAnsi="Calibri"/>
          <w:b/>
          <w:i w:val="0"/>
          <w:color w:val="16150F"/>
          <w:sz w:val="28"/>
        </w:rPr>
        <w:t>Worked example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3C9"/>
          <w:left w:val="single" w:sz="6" w:space="0" w:color="D9D3C9"/>
          <w:bottom w:val="single" w:sz="6" w:space="0" w:color="D9D3C9"/>
          <w:right w:val="single" w:sz="6" w:space="0" w:color="D9D3C9"/>
          <w:insideH w:val="single" w:sz="6" w:space="0" w:color="D9D3C9"/>
          <w:insideV w:val="single" w:sz="6" w:space="0" w:color="D9D3C9"/>
        </w:tblBorders>
      </w:tblPr>
      <w:tblGrid>
        <w:gridCol w:w="8640"/>
      </w:tblGrid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THE PROBLEM OR OPPORTUNITY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Five business units run on separate, ageing tenancies. Support cost is rising, security posture is inconsistent, and every cross-unit report is manual. Consolidating onto one Azure tenancy fixes all three.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WHY NOW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Two of the five tenancies fall out of vendor support this year. Waiting means paying for extended support and carrying a known security gap.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OPTIONS CONSIDERED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(a) Do nothing and pay for extended support. (b) Lift-and-shift each unit as-is. (c) Consolidate onto one governed tenancy in two waves.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RECOMMENDED OPTION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Option (c). It is the only one that removes the recurring cost and the security gap rather than deferring them.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IT COSTS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£140k–£180k over four months, one PM, a tech lead, and two days a week of client SME time.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WE GET (MEASURABLE)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Support cost down ~30% within two quarters; one security baseline across all units; cross-unit reporting same-day instead of manual.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KEY RISKS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Data quality on the legacy tenancies (mitigated by profiling first); SME availability (mitigated by a written commitment in the SoW).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SUCCESS LOOKS LIKE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All five units live on one tenancy, zero priority-1 incidents at cutover, each unit head signed off, the old tenancies decommissioned.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WE WILL STOP DOING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Pause the Unit 3 custom-reporting request and the optional analytics pilot until consolidation is delivered.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onsolas" w:hAnsi="Consolas"/>
        <w:b w:val="0"/>
        <w:i w:val="0"/>
        <w:color w:val="6B6560"/>
        <w:sz w:val="16"/>
      </w:rPr>
      <w:t>A free tool from The Honest Programme  ·  alkarakas.com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6150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C0472B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6150F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