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i w:val="0"/>
          <w:color w:val="16150F"/>
          <w:sz w:val="44"/>
        </w:rPr>
        <w:t>Weekly status — [Programme name] — [week ending]</w:t>
      </w:r>
    </w:p>
    <w:p>
      <w:pPr>
        <w:pBdr>
          <w:bottom w:val="single" w:sz="12" w:space="1" w:color="C0472B"/>
        </w:pBdr>
      </w:pPr>
    </w:p>
    <w:p>
      <w:r>
        <w:rPr>
          <w:rFonts w:ascii="Calibri" w:hAnsi="Calibri"/>
          <w:b w:val="0"/>
          <w:i w:val="0"/>
          <w:color w:val="6B6560"/>
          <w:sz w:val="21"/>
        </w:rPr>
        <w:t>Honest by design. One page of boxes. It shows real delivery and names the gap, instead of a reassuring colour. A filled example follows.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3C9"/>
          <w:left w:val="single" w:sz="6" w:space="0" w:color="D9D3C9"/>
          <w:bottom w:val="single" w:sz="6" w:space="0" w:color="D9D3C9"/>
          <w:right w:val="single" w:sz="6" w:space="0" w:color="D9D3C9"/>
          <w:insideH w:val="single" w:sz="6" w:space="0" w:color="D9D3C9"/>
          <w:insideV w:val="single" w:sz="6" w:space="0" w:color="D9D3C9"/>
        </w:tblBorders>
      </w:tblPr>
      <w:tblGrid>
        <w:gridCol w:w="8640"/>
      </w:tblGrid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THE ONE-LINE TRUTH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Where we actually are this week.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DELIVERED THIS WEEK (DEMONSTRABLE)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What can be seen, used or tested, not just worked on.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PLANNED NEXT WEEK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The few things that matter most.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AGAINST THE PLAN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On track, behind or ahead, by how much. If behind: what would have to be true to recover the date?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TOP RISKS AND ISSUES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From the RAID log. The ones the sponsor needs to know.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DECISIONS NEEDED FROM THE SPONSOR OR CLIENT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What you need, and by when.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I AM NOT SAYING OUT LOUD YET, AND SHOULD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The honest line. Surface it here before it surfaces itself.</w:t>
            </w:r>
          </w:p>
          <w:p/>
          <w:p/>
        </w:tc>
      </w:tr>
    </w:tbl>
    <w:p>
      <w:r>
        <w:br w:type="page"/>
      </w:r>
    </w:p>
    <w:p>
      <w:r>
        <w:rPr>
          <w:rFonts w:ascii="Calibri" w:hAnsi="Calibri"/>
          <w:b/>
          <w:i w:val="0"/>
          <w:color w:val="16150F"/>
          <w:sz w:val="28"/>
        </w:rPr>
        <w:t>Worked example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3C9"/>
          <w:left w:val="single" w:sz="6" w:space="0" w:color="D9D3C9"/>
          <w:bottom w:val="single" w:sz="6" w:space="0" w:color="D9D3C9"/>
          <w:right w:val="single" w:sz="6" w:space="0" w:color="D9D3C9"/>
          <w:insideH w:val="single" w:sz="6" w:space="0" w:color="D9D3C9"/>
          <w:insideV w:val="single" w:sz="6" w:space="0" w:color="D9D3C9"/>
        </w:tblBorders>
      </w:tblPr>
      <w:tblGrid>
        <w:gridCol w:w="8640"/>
      </w:tblGrid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THE ONE-LINE TRUTH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Two days behind on the data migration, recoverable if Finance sign-off lands this week.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DELIVERED THIS WEEK (DEMONSTRABLE)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Units 1–3 migrated to staging and validated. CI pipeline live. First end-to-end run green.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PLANNED NEXT WEEK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Migrate units 4–5. Client UAT on units 1–3. Close out two priority issues.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AGAINST THE PLAN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Behind by two days on migration. Recovers if the Finance export is signed off by Wed; otherwise cutover moves one week.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TOP RISKS AND ISSUES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R-01 vendor availability (mitigating). I-01 test environment now resolved. D-01 Finance sign-off at risk.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DECISIONS NEEDED FROM THE SPONSOR OR CLIENT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Confirm the Finance data owner by Wednesday. Approve the one-week contingency if sign-off slips.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I AM NOT SAYING OUT LOUD YET, AND SHOULD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If Finance slips twice, the fixed go-live date is no longer credible and we should reset expectations now.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onsolas" w:hAnsi="Consolas"/>
        <w:b w:val="0"/>
        <w:i w:val="0"/>
        <w:color w:val="6B6560"/>
        <w:sz w:val="16"/>
      </w:rPr>
      <w:t>A free tool from The Honest Programme  ·  alkarakas.com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6150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C0472B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6150F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