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i w:val="0"/>
          <w:color w:val="16150F"/>
          <w:sz w:val="44"/>
        </w:rPr>
        <w:t>Post-implementation review — [Initiative]</w:t>
      </w:r>
    </w:p>
    <w:p>
      <w:pPr>
        <w:pBdr>
          <w:bottom w:val="single" w:sz="12" w:space="1" w:color="C0472B"/>
        </w:pBdr>
      </w:pPr>
    </w:p>
    <w:p>
      <w:r>
        <w:rPr>
          <w:rFonts w:ascii="Calibri" w:hAnsi="Calibri"/>
          <w:b w:val="0"/>
          <w:i w:val="0"/>
          <w:color w:val="6B6560"/>
          <w:sz w:val="21"/>
        </w:rPr>
        <w:t>The honest look back almost nobody ships. Did it deliver what it promised, and what would we do differently? Fill it in once the dust has settled. A worked example follows.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SET OUT TO DO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original objective and the success criteria, as written at the start — not as remembered now.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ACTUALLY DELIVERED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honest scope delivered, including what was cut or deferred.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BENEFITS: PROMISED VS REALISED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For each benefit in the business case: was it realised, partly, or not? Use real numbers where you have them.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WORKED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decisions, practices and people that genuinely helped. Worth repeating.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DIDN'T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things that cost time, money or trust. Blameless, but specific.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WE'D DO DIFFERENTLY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The few changes that would have made the biggest difference. Feed these into the lessons log.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OUTSTANDING RISKS AND HANDOVER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What the receiving team needs to own from here, and any risk still live.</w:t>
            </w:r>
          </w:p>
          <w:p/>
          <w:p/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HONEST VERDICT</w:t>
            </w:r>
          </w:p>
          <w:p>
            <w:r>
              <w:rPr>
                <w:rFonts w:ascii="Calibri" w:hAnsi="Calibri"/>
                <w:b w:val="0"/>
                <w:i/>
                <w:color w:val="6B6560"/>
                <w:sz w:val="18"/>
              </w:rPr>
              <w:t>In one line: was it worth it, and would we do it again the same way?</w:t>
            </w:r>
          </w:p>
          <w:p/>
          <w:p/>
        </w:tc>
      </w:tr>
    </w:tbl>
    <w:p>
      <w:r>
        <w:br w:type="page"/>
      </w:r>
    </w:p>
    <w:p>
      <w:r>
        <w:rPr>
          <w:rFonts w:ascii="Calibri" w:hAnsi="Calibri"/>
          <w:b/>
          <w:i w:val="0"/>
          <w:color w:val="16150F"/>
          <w:sz w:val="28"/>
        </w:rPr>
        <w:t>Worked example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9D3C9"/>
          <w:left w:val="single" w:sz="6" w:space="0" w:color="D9D3C9"/>
          <w:bottom w:val="single" w:sz="6" w:space="0" w:color="D9D3C9"/>
          <w:right w:val="single" w:sz="6" w:space="0" w:color="D9D3C9"/>
          <w:insideH w:val="single" w:sz="6" w:space="0" w:color="D9D3C9"/>
          <w:insideV w:val="single" w:sz="6" w:space="0" w:color="D9D3C9"/>
        </w:tblBorders>
      </w:tblPr>
      <w:tblGrid>
        <w:gridCol w:w="8640"/>
      </w:tblGrid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SET OUT TO DO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Consolidate five units onto one Azure tenancy with no loss of service, zero P1 incidents at cutover, each unit head signed off, by end of Q3.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 ACTUALLY DELIVERED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All five units live in two waves. The optional analytics pilot was deferred. Cutover completed two weeks later than the original date.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BENEFITS: PROMISED VS REALISED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Support cost: down 28% (promised ~30%) — on track. Security baseline: fully realised. Same-day reporting: realised for four of five units; Unit 5 still partly manual.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WORKED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Two-wave approach contained risk. Profiling the data before committing avoided a migration overrun. Weekly honest status kept the CIO ahead of bad news.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DIDN'T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Vendor availability cost three weeks early on. Change control was set up too late, after the first scope creep had already eroded the buffer.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WHAT WE'D DO DIFFERENTLY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Contract a response SLA and a backup vendor at kickoff. Stand up the change log on day one. Confirm SME availability in writing before mobilising.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OUTSTANDING RISKS AND HANDOVER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Unit 5 manual reporting to be automated by the BAU team (owner named). Decommission of the last legacy tenancy scheduled for next month.</w:t>
            </w:r>
          </w:p>
        </w:tc>
      </w:tr>
      <w:tr>
        <w:tc>
          <w:tcPr>
            <w:tcW w:type="dxa" w:w="8640"/>
          </w:tcPr>
          <w:p>
            <w:pPr>
              <w:spacing w:before="120"/>
            </w:pPr>
            <w:r/>
            <w:r>
              <w:rPr>
                <w:rFonts w:ascii="Consolas" w:hAnsi="Consolas"/>
                <w:b/>
                <w:i w:val="0"/>
                <w:color w:val="C0472B"/>
                <w:sz w:val="20"/>
              </w:rPr>
              <w:t>HONEST VERDICT</w:t>
            </w:r>
          </w:p>
          <w:p>
            <w:r>
              <w:rPr>
                <w:rFonts w:ascii="Calibri" w:hAnsi="Calibri"/>
                <w:b w:val="0"/>
                <w:i w:val="0"/>
                <w:color w:val="16150F"/>
                <w:sz w:val="21"/>
              </w:rPr>
              <w:t>Worth it — the recurring cost and security gap are gone. We would do it again, but with change control and vendor terms locked from the start.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onsolas" w:hAnsi="Consolas"/>
        <w:b w:val="0"/>
        <w:i w:val="0"/>
        <w:color w:val="6B6560"/>
        <w:sz w:val="16"/>
      </w:rPr>
      <w:t>A free tool from The Honest Programme  ·  alkarakas.com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150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C0472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6150F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